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0000001">
      <w:pPr>
        <w:keepNext w:val="0"/>
        <w:keepLines w:val="0"/>
        <w:pageBreakBefore w:val="0"/>
        <w:widowControl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spacing w:before="0" w:after="0" w:line="276" w:lineRule="auto"/>
        <w:ind w:left="0" w:right="0" w:firstLine="0"/>
        <w:jc w:val="left"/>
        <w:rPr>
          <w:rFonts w:ascii="Arial" w:hAnsi="Arial" w:eastAsia="Arial" w:cs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</w:rPr>
      </w:pPr>
    </w:p>
    <w:tbl>
      <w:tblPr>
        <w:tblStyle w:val="19"/>
        <w:tblW w:w="9280" w:type="dxa"/>
        <w:jc w:val="center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308"/>
        <w:gridCol w:w="4972"/>
      </w:tblGrid>
      <w:tr w14:paraId="729227B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vAlign w:val="top"/>
          </w:tcPr>
          <w:p w14:paraId="00000002">
            <w:pPr>
              <w:suppressAutoHyphens/>
              <w:spacing w:before="120" w:after="120" w:line="1" w:lineRule="atLeast"/>
              <w:ind w:leftChars="-1" w:rightChars="0" w:hangingChars="1"/>
              <w:textAlignment w:val="top"/>
              <w:outlineLvl w:val="0"/>
              <w:rPr>
                <w:b w:val="0"/>
                <w:bCs w:val="0"/>
                <w:color w:val="000000"/>
                <w:w w:val="100"/>
                <w:position w:val="-1"/>
                <w:vertAlign w:val="baseline"/>
                <w:cs w:val="0"/>
              </w:rPr>
            </w:pPr>
            <w:r>
              <w:rPr>
                <w:b/>
                <w:bCs/>
                <w:color w:val="000000"/>
                <w:w w:val="100"/>
                <w:position w:val="-1"/>
                <w:highlight w:val="white"/>
                <w:vertAlign w:val="baseline"/>
                <w:rtl w:val="0"/>
                <w:cs w:val="0"/>
              </w:rPr>
              <w:t>Đơn vị:</w:t>
            </w:r>
            <w:r>
              <w:rPr>
                <w:b/>
                <w:bCs/>
                <w:color w:val="000000"/>
                <w:w w:val="100"/>
                <w:position w:val="-1"/>
                <w:vertAlign w:val="baseline"/>
                <w:rtl w:val="0"/>
                <w:cs w:val="0"/>
              </w:rPr>
              <w:t xml:space="preserve"> Công ty cổ phần bao bì giấy Vinh Hoa</w:t>
            </w:r>
          </w:p>
          <w:p w14:paraId="00000003">
            <w:pPr>
              <w:suppressAutoHyphens/>
              <w:spacing w:before="120" w:after="120" w:line="1" w:lineRule="atLeast"/>
              <w:ind w:leftChars="-1" w:rightChars="0" w:hangingChars="1"/>
              <w:textAlignment w:val="top"/>
              <w:outlineLvl w:val="0"/>
              <w:rPr>
                <w:b w:val="0"/>
                <w:bCs w:val="0"/>
                <w:color w:val="000000"/>
                <w:w w:val="100"/>
                <w:position w:val="-1"/>
                <w:vertAlign w:val="baseline"/>
                <w:cs w:val="0"/>
              </w:rPr>
            </w:pPr>
            <w:r>
              <w:rPr>
                <w:b/>
                <w:bCs/>
                <w:color w:val="000000"/>
                <w:w w:val="100"/>
                <w:position w:val="-1"/>
                <w:vertAlign w:val="baseline"/>
                <w:rtl w:val="0"/>
                <w:cs w:val="0"/>
              </w:rPr>
              <w:t>Bộ phận:</w:t>
            </w:r>
            <w:r>
              <w:rPr>
                <w:color w:val="000000"/>
                <w:w w:val="100"/>
                <w:position w:val="-1"/>
                <w:vertAlign w:val="baseline"/>
                <w:rtl w:val="0"/>
                <w:cs w:val="0"/>
              </w:rPr>
              <w:t xml:space="preserve"> Kho vật tư</w:t>
            </w:r>
          </w:p>
        </w:tc>
        <w:tc>
          <w:tcPr>
            <w:vAlign w:val="top"/>
          </w:tcPr>
          <w:p w14:paraId="00000004">
            <w:pPr>
              <w:suppressAutoHyphens/>
              <w:spacing w:before="120" w:after="120" w:line="1" w:lineRule="atLeast"/>
              <w:ind w:leftChars="-1" w:rightChars="0" w:hangingChars="1"/>
              <w:jc w:val="center"/>
              <w:textAlignment w:val="top"/>
              <w:outlineLvl w:val="0"/>
              <w:rPr>
                <w:i w:val="0"/>
                <w:iCs w:val="0"/>
                <w:color w:val="000000"/>
                <w:w w:val="100"/>
                <w:position w:val="-1"/>
                <w:vertAlign w:val="baseline"/>
                <w:cs w:val="0"/>
              </w:rPr>
            </w:pPr>
            <w:r>
              <w:rPr>
                <w:b/>
                <w:bCs/>
                <w:color w:val="000000"/>
                <w:w w:val="100"/>
                <w:position w:val="-1"/>
                <w:vertAlign w:val="baseline"/>
                <w:rtl w:val="0"/>
                <w:cs w:val="0"/>
              </w:rPr>
              <w:t>Mẫu số 02-TSCĐ</w:t>
            </w:r>
            <w:r>
              <w:rPr>
                <w:b/>
                <w:bCs/>
                <w:color w:val="000000"/>
                <w:w w:val="100"/>
                <w:position w:val="-1"/>
                <w:vertAlign w:val="baseline"/>
                <w:rtl w:val="0"/>
                <w:cs w:val="0"/>
              </w:rPr>
              <w:br w:type="textWrapping"/>
            </w:r>
            <w:r>
              <w:rPr>
                <w:color w:val="000000"/>
                <w:w w:val="100"/>
                <w:position w:val="-1"/>
                <w:vertAlign w:val="baseline"/>
                <w:rtl w:val="0"/>
                <w:cs w:val="0"/>
              </w:rPr>
              <w:t>(Ban hành theo Thông tư số 133/2016/TT-BTC ngày 26/8/2016 của Bộ Tài chính)</w:t>
            </w:r>
          </w:p>
        </w:tc>
      </w:tr>
    </w:tbl>
    <w:p w14:paraId="00000005">
      <w:pPr>
        <w:spacing w:before="10" w:after="120" w:line="312" w:lineRule="auto"/>
        <w:jc w:val="center"/>
        <w:rPr>
          <w:b w:val="0"/>
          <w:bCs w:val="0"/>
          <w:color w:val="000000"/>
          <w:vertAlign w:val="baseline"/>
        </w:rPr>
      </w:pPr>
      <w:r>
        <w:rPr>
          <w:b/>
          <w:bCs/>
          <w:color w:val="000000"/>
          <w:vertAlign w:val="baseline"/>
          <w:rtl w:val="0"/>
        </w:rPr>
        <w:t>BIÊN BẢN THANH LÝ TSCĐ</w:t>
      </w:r>
    </w:p>
    <w:p w14:paraId="00000006">
      <w:pPr>
        <w:spacing w:before="10" w:after="120" w:line="312" w:lineRule="auto"/>
        <w:jc w:val="center"/>
        <w:rPr>
          <w:rFonts w:hint="default"/>
          <w:i w:val="0"/>
          <w:iCs w:val="0"/>
          <w:color w:val="000000"/>
          <w:vertAlign w:val="baseline"/>
          <w:lang w:val="en-US"/>
        </w:rPr>
      </w:pPr>
      <w:r>
        <w:rPr>
          <w:i/>
          <w:iCs/>
          <w:color w:val="000000"/>
          <w:vertAlign w:val="baseline"/>
          <w:rtl w:val="0"/>
        </w:rPr>
        <w:t xml:space="preserve">Ngày 25 tháng </w:t>
      </w:r>
      <w:r>
        <w:rPr>
          <w:rFonts w:hint="default"/>
          <w:i/>
          <w:iCs/>
          <w:rtl w:val="0"/>
          <w:lang w:val="en-US"/>
        </w:rPr>
        <w:t>…</w:t>
      </w:r>
      <w:r>
        <w:rPr>
          <w:i/>
          <w:iCs/>
          <w:color w:val="000000"/>
          <w:vertAlign w:val="baseline"/>
          <w:rtl w:val="0"/>
        </w:rPr>
        <w:t xml:space="preserve"> năm </w:t>
      </w:r>
      <w:r>
        <w:rPr>
          <w:rFonts w:hint="default"/>
          <w:i/>
          <w:iCs/>
          <w:color w:val="000000"/>
          <w:vertAlign w:val="baseline"/>
          <w:rtl w:val="0"/>
          <w:lang w:val="en-US"/>
        </w:rPr>
        <w:t>…</w:t>
      </w:r>
    </w:p>
    <w:p w14:paraId="00000007">
      <w:pPr>
        <w:spacing w:before="10" w:after="120" w:line="312" w:lineRule="auto"/>
        <w:ind w:left="6720" w:firstLine="420"/>
        <w:rPr>
          <w:color w:val="000000"/>
          <w:vertAlign w:val="baseline"/>
        </w:rPr>
      </w:pPr>
      <w:r>
        <w:rPr>
          <w:color w:val="000000"/>
          <w:vertAlign w:val="baseline"/>
          <w:rtl w:val="0"/>
        </w:rPr>
        <w:t>Số: 01</w:t>
      </w:r>
    </w:p>
    <w:p w14:paraId="00000008">
      <w:pPr>
        <w:spacing w:before="10" w:after="120" w:line="312" w:lineRule="auto"/>
        <w:jc w:val="center"/>
        <w:rPr>
          <w:color w:val="000000"/>
          <w:vertAlign w:val="baseline"/>
        </w:rPr>
      </w:pPr>
      <w:r>
        <w:rPr>
          <w:color w:val="000000"/>
          <w:vertAlign w:val="baseline"/>
          <w:rtl w:val="0"/>
        </w:rPr>
        <w:t xml:space="preserve">                                                      Nợ: 2141, 811</w:t>
      </w:r>
    </w:p>
    <w:p w14:paraId="00000009">
      <w:pPr>
        <w:spacing w:before="10" w:after="120" w:line="312" w:lineRule="auto"/>
        <w:jc w:val="center"/>
        <w:rPr>
          <w:color w:val="000000"/>
          <w:vertAlign w:val="baseline"/>
        </w:rPr>
      </w:pPr>
      <w:r>
        <w:rPr>
          <w:color w:val="000000"/>
          <w:vertAlign w:val="baseline"/>
          <w:rtl w:val="0"/>
        </w:rPr>
        <w:t xml:space="preserve">                                                   Có: 21112</w:t>
      </w:r>
    </w:p>
    <w:p w14:paraId="0000000A">
      <w:pPr>
        <w:spacing w:before="120" w:after="120" w:line="312" w:lineRule="auto"/>
        <w:jc w:val="both"/>
        <w:rPr>
          <w:color w:val="000000"/>
          <w:vertAlign w:val="baseline"/>
        </w:rPr>
      </w:pPr>
      <w:r>
        <w:rPr>
          <w:color w:val="000000"/>
          <w:vertAlign w:val="baseline"/>
          <w:rtl w:val="0"/>
        </w:rPr>
        <w:t xml:space="preserve">Căn cứ Quyết định số: 01 ngày 25 tháng </w:t>
      </w:r>
      <w:r>
        <w:rPr>
          <w:rtl w:val="0"/>
        </w:rPr>
        <w:t>12</w:t>
      </w:r>
      <w:r>
        <w:rPr>
          <w:color w:val="000000"/>
          <w:vertAlign w:val="baseline"/>
          <w:rtl w:val="0"/>
        </w:rPr>
        <w:t xml:space="preserve"> năm 202</w:t>
      </w:r>
      <w:r>
        <w:rPr>
          <w:rtl w:val="0"/>
        </w:rPr>
        <w:t>5</w:t>
      </w:r>
      <w:r>
        <w:rPr>
          <w:color w:val="000000"/>
          <w:vertAlign w:val="baseline"/>
          <w:rtl w:val="0"/>
        </w:rPr>
        <w:t xml:space="preserve"> của Công ty cổ phần bao bì giấy Vinh Hoa về việc thanh lý tài sản cố định.</w:t>
      </w:r>
    </w:p>
    <w:p w14:paraId="0000000B">
      <w:pPr>
        <w:spacing w:before="120" w:after="120" w:line="312" w:lineRule="auto"/>
        <w:jc w:val="both"/>
        <w:rPr>
          <w:b w:val="0"/>
          <w:bCs w:val="0"/>
          <w:color w:val="000000"/>
          <w:vertAlign w:val="baseline"/>
        </w:rPr>
      </w:pPr>
      <w:r>
        <w:rPr>
          <w:b/>
          <w:bCs/>
          <w:color w:val="000000"/>
          <w:vertAlign w:val="baseline"/>
          <w:rtl w:val="0"/>
        </w:rPr>
        <w:t>I. Ban thanh lý TSCĐ gồm:</w:t>
      </w:r>
    </w:p>
    <w:p w14:paraId="0000000C">
      <w:pPr>
        <w:spacing w:before="120" w:after="120" w:line="312" w:lineRule="auto"/>
        <w:jc w:val="both"/>
        <w:rPr>
          <w:color w:val="000000"/>
          <w:vertAlign w:val="baseline"/>
        </w:rPr>
      </w:pPr>
      <w:r>
        <w:rPr>
          <w:color w:val="000000"/>
          <w:vertAlign w:val="baseline"/>
          <w:rtl w:val="0"/>
        </w:rPr>
        <w:t xml:space="preserve">- Ông/Bà: </w:t>
      </w:r>
      <w:r>
        <w:rPr>
          <w:rtl w:val="0"/>
        </w:rPr>
        <w:t>Nguyễn Thị Lương</w:t>
      </w:r>
      <w:r>
        <w:rPr>
          <w:color w:val="000000"/>
          <w:vertAlign w:val="baseline"/>
          <w:rtl w:val="0"/>
        </w:rPr>
        <w:t xml:space="preserve">           Chức vụ: Giám đốc.  </w:t>
      </w:r>
    </w:p>
    <w:p w14:paraId="0000000D">
      <w:pPr>
        <w:spacing w:before="120" w:after="120" w:line="312" w:lineRule="auto"/>
        <w:jc w:val="both"/>
        <w:rPr>
          <w:color w:val="000000"/>
          <w:vertAlign w:val="baseline"/>
        </w:rPr>
      </w:pPr>
      <w:r>
        <w:rPr>
          <w:color w:val="000000"/>
          <w:vertAlign w:val="baseline"/>
          <w:rtl w:val="0"/>
        </w:rPr>
        <w:t>- Ông/Bà: Lương Thị Diệu            Chức vụ: Kế toán</w:t>
      </w:r>
    </w:p>
    <w:p w14:paraId="0000000E">
      <w:pPr>
        <w:spacing w:before="120" w:after="120" w:line="312" w:lineRule="auto"/>
        <w:jc w:val="both"/>
        <w:rPr>
          <w:color w:val="000000"/>
          <w:vertAlign w:val="baseline"/>
        </w:rPr>
      </w:pPr>
      <w:r>
        <w:rPr>
          <w:color w:val="000000"/>
          <w:vertAlign w:val="baseline"/>
          <w:rtl w:val="0"/>
        </w:rPr>
        <w:t>- Ông/Bà: Lục Văn Minh              Chức vụ: Nhân viên</w:t>
      </w:r>
    </w:p>
    <w:p w14:paraId="0000000F">
      <w:pPr>
        <w:spacing w:before="120" w:after="120" w:line="312" w:lineRule="auto"/>
        <w:jc w:val="both"/>
        <w:rPr>
          <w:b w:val="0"/>
          <w:bCs w:val="0"/>
          <w:color w:val="000000"/>
          <w:vertAlign w:val="baseline"/>
        </w:rPr>
      </w:pPr>
      <w:r>
        <w:rPr>
          <w:b/>
          <w:bCs/>
          <w:color w:val="000000"/>
          <w:vertAlign w:val="baseline"/>
          <w:rtl w:val="0"/>
        </w:rPr>
        <w:t>II. Tiến hành thanh lý TSCĐ:</w:t>
      </w:r>
    </w:p>
    <w:p w14:paraId="00000010">
      <w:pPr>
        <w:spacing w:before="120" w:after="120"/>
        <w:rPr>
          <w:color w:val="000000"/>
          <w:vertAlign w:val="baseline"/>
        </w:rPr>
      </w:pPr>
      <w:r>
        <w:rPr>
          <w:color w:val="000000"/>
          <w:vertAlign w:val="baseline"/>
          <w:rtl w:val="0"/>
        </w:rPr>
        <w:t>- Tên, ký mã hiệu, qui cách (cấp hạng) TSCĐ: Xe ô tô tải ( thùng kín) 1,4 tấn</w:t>
      </w:r>
    </w:p>
    <w:p w14:paraId="00000011">
      <w:pPr>
        <w:tabs>
          <w:tab w:val="left" w:pos="9120"/>
        </w:tabs>
        <w:spacing w:before="120" w:after="120" w:line="312" w:lineRule="auto"/>
        <w:jc w:val="both"/>
        <w:rPr>
          <w:color w:val="000000"/>
          <w:vertAlign w:val="baseline"/>
        </w:rPr>
      </w:pPr>
      <w:r>
        <w:rPr>
          <w:color w:val="000000"/>
          <w:vertAlign w:val="baseline"/>
          <w:rtl w:val="0"/>
        </w:rPr>
        <w:t>- Số hiệu TSCĐ: TS_OTO</w:t>
      </w:r>
    </w:p>
    <w:p w14:paraId="00000012">
      <w:pPr>
        <w:tabs>
          <w:tab w:val="left" w:pos="9120"/>
        </w:tabs>
        <w:spacing w:before="120" w:after="120" w:line="312" w:lineRule="auto"/>
        <w:jc w:val="both"/>
        <w:rPr>
          <w:color w:val="000000"/>
          <w:vertAlign w:val="baseline"/>
        </w:rPr>
      </w:pPr>
      <w:r>
        <w:rPr>
          <w:color w:val="000000"/>
          <w:vertAlign w:val="baseline"/>
          <w:rtl w:val="0"/>
        </w:rPr>
        <w:t>- Nước sản xuất (xây dựng): Japan</w:t>
      </w:r>
    </w:p>
    <w:p w14:paraId="00000013">
      <w:pPr>
        <w:tabs>
          <w:tab w:val="left" w:pos="9120"/>
        </w:tabs>
        <w:spacing w:before="120" w:after="120" w:line="312" w:lineRule="auto"/>
        <w:jc w:val="both"/>
        <w:rPr>
          <w:color w:val="000000"/>
          <w:vertAlign w:val="baseline"/>
        </w:rPr>
      </w:pPr>
      <w:r>
        <w:rPr>
          <w:color w:val="000000"/>
          <w:vertAlign w:val="baseline"/>
          <w:rtl w:val="0"/>
        </w:rPr>
        <w:t>- Năm sản xuất: 2018</w:t>
      </w:r>
    </w:p>
    <w:p w14:paraId="00000014">
      <w:pPr>
        <w:tabs>
          <w:tab w:val="left" w:pos="9120"/>
        </w:tabs>
        <w:spacing w:before="120" w:after="120" w:line="312" w:lineRule="auto"/>
        <w:jc w:val="both"/>
        <w:rPr>
          <w:color w:val="000000"/>
          <w:vertAlign w:val="baseline"/>
        </w:rPr>
      </w:pPr>
      <w:r>
        <w:rPr>
          <w:color w:val="000000"/>
          <w:vertAlign w:val="baseline"/>
          <w:rtl w:val="0"/>
        </w:rPr>
        <w:t>- Năm đưa vào sử dụng: 2018      Số thẻ TSCĐ: 001</w:t>
      </w:r>
    </w:p>
    <w:p w14:paraId="00000015">
      <w:pPr>
        <w:tabs>
          <w:tab w:val="left" w:pos="9120"/>
        </w:tabs>
        <w:spacing w:before="120" w:after="120" w:line="312" w:lineRule="auto"/>
        <w:jc w:val="both"/>
        <w:rPr>
          <w:color w:val="000000"/>
          <w:vertAlign w:val="baseline"/>
        </w:rPr>
      </w:pPr>
      <w:r>
        <w:rPr>
          <w:color w:val="000000"/>
          <w:vertAlign w:val="baseline"/>
          <w:rtl w:val="0"/>
        </w:rPr>
        <w:t>- Nguyên giá TSCĐ: 334.396.000Đ</w:t>
      </w:r>
    </w:p>
    <w:p w14:paraId="00000016">
      <w:pPr>
        <w:tabs>
          <w:tab w:val="left" w:pos="9120"/>
        </w:tabs>
        <w:spacing w:before="120" w:after="120" w:line="312" w:lineRule="auto"/>
        <w:jc w:val="both"/>
        <w:rPr>
          <w:color w:val="000000"/>
          <w:vertAlign w:val="baseline"/>
        </w:rPr>
      </w:pPr>
      <w:r>
        <w:rPr>
          <w:color w:val="000000"/>
          <w:vertAlign w:val="baseline"/>
          <w:rtl w:val="0"/>
        </w:rPr>
        <w:t>- Giá trị hao mòn đã trích đến thời điểm thanh lý: 96.483.436Đ</w:t>
      </w:r>
    </w:p>
    <w:p w14:paraId="00000017">
      <w:pPr>
        <w:tabs>
          <w:tab w:val="left" w:pos="9120"/>
        </w:tabs>
        <w:spacing w:before="120" w:after="120" w:line="312" w:lineRule="auto"/>
        <w:jc w:val="both"/>
        <w:rPr>
          <w:color w:val="000000"/>
          <w:vertAlign w:val="baseline"/>
        </w:rPr>
      </w:pPr>
      <w:r>
        <w:rPr>
          <w:color w:val="000000"/>
          <w:vertAlign w:val="baseline"/>
          <w:rtl w:val="0"/>
        </w:rPr>
        <w:t>- Giá trị còn lại của TSCĐ: 237.912.564Đ</w:t>
      </w:r>
    </w:p>
    <w:p w14:paraId="00000018">
      <w:pPr>
        <w:tabs>
          <w:tab w:val="left" w:pos="9120"/>
        </w:tabs>
        <w:spacing w:before="120" w:after="120" w:line="312" w:lineRule="auto"/>
        <w:jc w:val="both"/>
        <w:rPr>
          <w:b w:val="0"/>
          <w:bCs w:val="0"/>
          <w:color w:val="000000"/>
          <w:vertAlign w:val="baseline"/>
        </w:rPr>
      </w:pPr>
      <w:r>
        <w:rPr>
          <w:b/>
          <w:bCs/>
          <w:color w:val="000000"/>
          <w:vertAlign w:val="baseline"/>
          <w:rtl w:val="0"/>
        </w:rPr>
        <w:t>III. Kết luận của Ban thanh lý TSCĐ:</w:t>
      </w:r>
    </w:p>
    <w:p w14:paraId="00000019">
      <w:pPr>
        <w:tabs>
          <w:tab w:val="left" w:pos="9120"/>
        </w:tabs>
        <w:spacing w:before="120" w:after="120" w:line="312" w:lineRule="auto"/>
        <w:jc w:val="both"/>
        <w:rPr>
          <w:color w:val="000000"/>
          <w:vertAlign w:val="baseline"/>
        </w:rPr>
      </w:pPr>
      <w:r>
        <w:rPr>
          <w:color w:val="000000"/>
          <w:vertAlign w:val="baseline"/>
          <w:rtl w:val="0"/>
        </w:rPr>
        <w:t>Tài sản vẫn còn giá trị sử dụng sau khi công ty bán thanh lý</w:t>
      </w:r>
    </w:p>
    <w:tbl>
      <w:tblPr>
        <w:tblStyle w:val="20"/>
        <w:tblW w:w="9265" w:type="dxa"/>
        <w:tblInd w:w="-108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428"/>
        <w:gridCol w:w="4837"/>
      </w:tblGrid>
      <w:tr w14:paraId="59A9DC6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top"/>
          </w:tcPr>
          <w:p w14:paraId="0000001A">
            <w:pPr>
              <w:suppressAutoHyphens/>
              <w:spacing w:before="120" w:after="120" w:line="1" w:lineRule="atLeast"/>
              <w:ind w:leftChars="-1" w:rightChars="0" w:hangingChars="1"/>
              <w:textAlignment w:val="top"/>
              <w:outlineLvl w:val="0"/>
              <w:rPr>
                <w:color w:val="000000"/>
                <w:w w:val="100"/>
                <w:position w:val="-1"/>
                <w:vertAlign w:val="baseline"/>
                <w:cs w:val="0"/>
              </w:rPr>
            </w:pPr>
          </w:p>
        </w:tc>
        <w:tc>
          <w:tcPr>
            <w:vAlign w:val="top"/>
          </w:tcPr>
          <w:p w14:paraId="0000001B">
            <w:pPr>
              <w:tabs>
                <w:tab w:val="left" w:pos="8280"/>
              </w:tabs>
              <w:suppressAutoHyphens/>
              <w:spacing w:before="120" w:after="120" w:line="1" w:lineRule="atLeast"/>
              <w:ind w:leftChars="-1" w:rightChars="0" w:hangingChars="1"/>
              <w:jc w:val="center"/>
              <w:textAlignment w:val="top"/>
              <w:outlineLvl w:val="0"/>
              <w:rPr>
                <w:rFonts w:hint="default"/>
                <w:i w:val="0"/>
                <w:iCs w:val="0"/>
                <w:color w:val="000000"/>
                <w:w w:val="100"/>
                <w:position w:val="-1"/>
                <w:vertAlign w:val="baseline"/>
                <w:cs w:val="0"/>
                <w:lang w:val="en-US"/>
              </w:rPr>
            </w:pPr>
            <w:r>
              <w:rPr>
                <w:i/>
                <w:iCs/>
                <w:color w:val="000000"/>
                <w:w w:val="100"/>
                <w:position w:val="-1"/>
                <w:vertAlign w:val="baseline"/>
                <w:rtl w:val="0"/>
                <w:cs w:val="0"/>
              </w:rPr>
              <w:t xml:space="preserve">Ngày 25 tháng </w:t>
            </w:r>
            <w:r>
              <w:rPr>
                <w:rFonts w:hint="default"/>
                <w:i/>
                <w:iCs/>
                <w:w w:val="100"/>
                <w:position w:val="-1"/>
                <w:vertAlign w:val="baseline"/>
                <w:rtl w:val="0"/>
                <w:cs w:val="0"/>
                <w:lang w:val="en-US"/>
              </w:rPr>
              <w:t>…</w:t>
            </w:r>
            <w:r>
              <w:rPr>
                <w:i/>
                <w:iCs/>
                <w:color w:val="000000"/>
                <w:w w:val="100"/>
                <w:position w:val="-1"/>
                <w:vertAlign w:val="baseline"/>
                <w:rtl w:val="0"/>
                <w:cs w:val="0"/>
              </w:rPr>
              <w:t xml:space="preserve">năm </w:t>
            </w:r>
            <w:r>
              <w:rPr>
                <w:rFonts w:hint="default"/>
                <w:i/>
                <w:iCs/>
                <w:color w:val="000000"/>
                <w:w w:val="100"/>
                <w:position w:val="-1"/>
                <w:vertAlign w:val="baseline"/>
                <w:rtl w:val="0"/>
                <w:cs w:val="0"/>
                <w:lang w:val="en-US"/>
              </w:rPr>
              <w:t>….</w:t>
            </w:r>
            <w:bookmarkStart w:id="0" w:name="_GoBack"/>
            <w:bookmarkEnd w:id="0"/>
          </w:p>
        </w:tc>
      </w:tr>
      <w:tr w14:paraId="73DA8A9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top"/>
          </w:tcPr>
          <w:p w14:paraId="0000001C">
            <w:pPr>
              <w:suppressAutoHyphens/>
              <w:spacing w:before="120" w:after="120" w:line="1" w:lineRule="atLeast"/>
              <w:ind w:leftChars="-1" w:rightChars="0" w:hangingChars="1"/>
              <w:textAlignment w:val="top"/>
              <w:outlineLvl w:val="0"/>
              <w:rPr>
                <w:color w:val="000000"/>
                <w:w w:val="100"/>
                <w:position w:val="-1"/>
                <w:vertAlign w:val="baseline"/>
                <w:cs w:val="0"/>
              </w:rPr>
            </w:pPr>
          </w:p>
        </w:tc>
        <w:tc>
          <w:tcPr>
            <w:vAlign w:val="top"/>
          </w:tcPr>
          <w:p w14:paraId="0000001D">
            <w:pPr>
              <w:tabs>
                <w:tab w:val="left" w:pos="8280"/>
              </w:tabs>
              <w:suppressAutoHyphens/>
              <w:spacing w:before="120" w:after="120" w:line="1" w:lineRule="atLeast"/>
              <w:ind w:leftChars="-1" w:rightChars="0" w:hangingChars="1"/>
              <w:jc w:val="center"/>
              <w:textAlignment w:val="top"/>
              <w:outlineLvl w:val="0"/>
              <w:rPr>
                <w:color w:val="000000"/>
                <w:w w:val="100"/>
                <w:position w:val="-1"/>
                <w:vertAlign w:val="baseline"/>
                <w:cs w:val="0"/>
              </w:rPr>
            </w:pPr>
            <w:r>
              <w:rPr>
                <w:b/>
                <w:bCs/>
                <w:color w:val="000000"/>
                <w:w w:val="100"/>
                <w:position w:val="-1"/>
                <w:vertAlign w:val="baseline"/>
                <w:rtl w:val="0"/>
                <w:cs w:val="0"/>
              </w:rPr>
              <w:t>Trưởng Ban thanh lý</w:t>
            </w:r>
            <w:r>
              <w:rPr>
                <w:b/>
                <w:bCs/>
                <w:color w:val="000000"/>
                <w:w w:val="100"/>
                <w:position w:val="-1"/>
                <w:vertAlign w:val="baseline"/>
                <w:rtl w:val="0"/>
                <w:cs w:val="0"/>
              </w:rPr>
              <w:br w:type="textWrapping"/>
            </w:r>
            <w:r>
              <w:rPr>
                <w:i/>
                <w:iCs/>
                <w:color w:val="000000"/>
                <w:w w:val="100"/>
                <w:position w:val="-1"/>
                <w:vertAlign w:val="baseline"/>
                <w:rtl w:val="0"/>
                <w:cs w:val="0"/>
              </w:rPr>
              <w:t>(Ký, họ tên)</w:t>
            </w:r>
          </w:p>
        </w:tc>
      </w:tr>
    </w:tbl>
    <w:p w14:paraId="0000001E">
      <w:pPr>
        <w:tabs>
          <w:tab w:val="left" w:pos="8280"/>
        </w:tabs>
        <w:spacing w:before="120" w:after="120" w:line="312" w:lineRule="auto"/>
        <w:jc w:val="both"/>
        <w:rPr>
          <w:b w:val="0"/>
          <w:bCs w:val="0"/>
          <w:color w:val="000000"/>
          <w:vertAlign w:val="baseline"/>
        </w:rPr>
      </w:pPr>
      <w:r>
        <w:rPr>
          <w:b/>
          <w:bCs/>
          <w:color w:val="000000"/>
          <w:vertAlign w:val="baseline"/>
          <w:rtl w:val="0"/>
        </w:rPr>
        <w:t>IV. Kết quả thanh lý TSCĐ:</w:t>
      </w:r>
    </w:p>
    <w:p w14:paraId="0000001F">
      <w:pPr>
        <w:tabs>
          <w:tab w:val="left" w:pos="9120"/>
        </w:tabs>
        <w:spacing w:before="120" w:after="120" w:line="312" w:lineRule="auto"/>
        <w:jc w:val="both"/>
        <w:rPr>
          <w:color w:val="000000"/>
          <w:vertAlign w:val="baseline"/>
        </w:rPr>
      </w:pPr>
      <w:r>
        <w:rPr>
          <w:color w:val="000000"/>
          <w:vertAlign w:val="baseline"/>
          <w:rtl w:val="0"/>
        </w:rPr>
        <w:t>- Chi phí thanh lý TSCĐ: .0đ (viết bằng chữ): Không đồng</w:t>
      </w:r>
    </w:p>
    <w:p w14:paraId="00000020">
      <w:pPr>
        <w:tabs>
          <w:tab w:val="left" w:pos="9120"/>
        </w:tabs>
        <w:spacing w:before="120" w:after="120" w:line="312" w:lineRule="auto"/>
        <w:jc w:val="both"/>
        <w:rPr>
          <w:color w:val="000000"/>
          <w:vertAlign w:val="baseline"/>
        </w:rPr>
      </w:pPr>
      <w:r>
        <w:rPr>
          <w:color w:val="000000"/>
          <w:vertAlign w:val="baseline"/>
          <w:rtl w:val="0"/>
        </w:rPr>
        <w:t>- Giá trị thu hồi: 0đ  (viết bằng chữ): không đồng</w:t>
      </w:r>
    </w:p>
    <w:p w14:paraId="00000021">
      <w:pPr>
        <w:tabs>
          <w:tab w:val="left" w:pos="8280"/>
        </w:tabs>
        <w:spacing w:before="120" w:after="120" w:line="312" w:lineRule="auto"/>
        <w:jc w:val="both"/>
        <w:rPr>
          <w:color w:val="000000"/>
          <w:vertAlign w:val="baseline"/>
        </w:rPr>
      </w:pPr>
      <w:r>
        <w:rPr>
          <w:color w:val="000000"/>
          <w:vertAlign w:val="baseline"/>
          <w:rtl w:val="0"/>
        </w:rPr>
        <w:t>- Đã ghi giảm sổ TSCĐ ngày 25 tháng 03 năm 2021</w:t>
      </w:r>
    </w:p>
    <w:tbl>
      <w:tblPr>
        <w:tblStyle w:val="21"/>
        <w:tblW w:w="9235" w:type="dxa"/>
        <w:tblInd w:w="-108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428"/>
        <w:gridCol w:w="4807"/>
      </w:tblGrid>
      <w:tr w14:paraId="4CBE8C5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top"/>
          </w:tcPr>
          <w:p w14:paraId="00000022">
            <w:pPr>
              <w:suppressAutoHyphens/>
              <w:spacing w:before="120" w:after="120" w:line="1" w:lineRule="atLeast"/>
              <w:ind w:leftChars="-1" w:rightChars="0" w:hangingChars="1"/>
              <w:jc w:val="center"/>
              <w:textAlignment w:val="top"/>
              <w:outlineLvl w:val="0"/>
              <w:rPr>
                <w:b w:val="0"/>
                <w:bCs w:val="0"/>
                <w:color w:val="000000"/>
                <w:w w:val="100"/>
                <w:position w:val="-1"/>
                <w:vertAlign w:val="baseline"/>
                <w:cs w:val="0"/>
              </w:rPr>
            </w:pPr>
          </w:p>
        </w:tc>
        <w:tc>
          <w:tcPr>
            <w:vAlign w:val="top"/>
          </w:tcPr>
          <w:p w14:paraId="00000023">
            <w:pPr>
              <w:suppressAutoHyphens/>
              <w:spacing w:before="120" w:after="120" w:line="1" w:lineRule="atLeast"/>
              <w:ind w:leftChars="-1" w:rightChars="0" w:hangingChars="1"/>
              <w:jc w:val="right"/>
              <w:textAlignment w:val="top"/>
              <w:outlineLvl w:val="0"/>
              <w:rPr>
                <w:b w:val="0"/>
                <w:bCs w:val="0"/>
                <w:color w:val="000000"/>
                <w:w w:val="100"/>
                <w:position w:val="-1"/>
                <w:vertAlign w:val="baseline"/>
                <w:cs w:val="0"/>
              </w:rPr>
            </w:pPr>
            <w:r>
              <w:rPr>
                <w:i/>
                <w:iCs/>
                <w:color w:val="000000"/>
                <w:w w:val="100"/>
                <w:position w:val="-1"/>
                <w:vertAlign w:val="baseline"/>
                <w:rtl w:val="0"/>
                <w:cs w:val="0"/>
              </w:rPr>
              <w:t>Ngày 25 tháng 03 năm 2021</w:t>
            </w:r>
          </w:p>
        </w:tc>
      </w:tr>
      <w:tr w14:paraId="015E094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top"/>
          </w:tcPr>
          <w:p w14:paraId="00000024">
            <w:pPr>
              <w:suppressAutoHyphens/>
              <w:spacing w:before="120" w:after="120" w:line="1" w:lineRule="atLeast"/>
              <w:ind w:leftChars="-1" w:rightChars="0" w:hangingChars="1"/>
              <w:jc w:val="center"/>
              <w:textAlignment w:val="top"/>
              <w:outlineLvl w:val="0"/>
              <w:rPr>
                <w:b w:val="0"/>
                <w:bCs w:val="0"/>
                <w:color w:val="000000"/>
                <w:w w:val="100"/>
                <w:position w:val="-1"/>
                <w:vertAlign w:val="baseline"/>
                <w:cs w:val="0"/>
              </w:rPr>
            </w:pPr>
            <w:r>
              <w:rPr>
                <w:b/>
                <w:bCs/>
                <w:color w:val="000000"/>
                <w:w w:val="100"/>
                <w:position w:val="-1"/>
                <w:vertAlign w:val="baseline"/>
                <w:rtl w:val="0"/>
                <w:cs w:val="0"/>
              </w:rPr>
              <w:t>Giám đốc</w:t>
            </w:r>
            <w:r>
              <w:rPr>
                <w:b/>
                <w:bCs/>
                <w:color w:val="000000"/>
                <w:w w:val="100"/>
                <w:position w:val="-1"/>
                <w:vertAlign w:val="baseline"/>
                <w:rtl w:val="0"/>
                <w:cs w:val="0"/>
              </w:rPr>
              <w:br w:type="textWrapping"/>
            </w:r>
            <w:r>
              <w:rPr>
                <w:i/>
                <w:iCs/>
                <w:color w:val="000000"/>
                <w:w w:val="100"/>
                <w:position w:val="-1"/>
                <w:vertAlign w:val="baseline"/>
                <w:rtl w:val="0"/>
                <w:cs w:val="0"/>
              </w:rPr>
              <w:t>(Ký, họ tên, đóng dấu)</w:t>
            </w:r>
          </w:p>
        </w:tc>
        <w:tc>
          <w:tcPr>
            <w:vAlign w:val="top"/>
          </w:tcPr>
          <w:p w14:paraId="00000025">
            <w:pPr>
              <w:suppressAutoHyphens/>
              <w:spacing w:before="120" w:after="120" w:line="1" w:lineRule="atLeast"/>
              <w:ind w:leftChars="-1" w:rightChars="0" w:hangingChars="1"/>
              <w:jc w:val="center"/>
              <w:textAlignment w:val="top"/>
              <w:outlineLvl w:val="0"/>
              <w:rPr>
                <w:color w:val="000000"/>
                <w:w w:val="100"/>
                <w:position w:val="-1"/>
                <w:vertAlign w:val="baseline"/>
                <w:cs w:val="0"/>
              </w:rPr>
            </w:pPr>
            <w:r>
              <w:rPr>
                <w:b/>
                <w:bCs/>
                <w:color w:val="000000"/>
                <w:w w:val="100"/>
                <w:position w:val="-1"/>
                <w:vertAlign w:val="baseline"/>
                <w:rtl w:val="0"/>
                <w:cs w:val="0"/>
              </w:rPr>
              <w:t>Kế toán trưởng</w:t>
            </w:r>
            <w:r>
              <w:rPr>
                <w:b/>
                <w:bCs/>
                <w:color w:val="000000"/>
                <w:w w:val="100"/>
                <w:position w:val="-1"/>
                <w:vertAlign w:val="baseline"/>
                <w:rtl w:val="0"/>
                <w:cs w:val="0"/>
              </w:rPr>
              <w:br w:type="textWrapping"/>
            </w:r>
            <w:r>
              <w:rPr>
                <w:i/>
                <w:iCs/>
                <w:color w:val="000000"/>
                <w:w w:val="100"/>
                <w:position w:val="-1"/>
                <w:vertAlign w:val="baseline"/>
                <w:rtl w:val="0"/>
                <w:cs w:val="0"/>
              </w:rPr>
              <w:t>(Ký, họ tên)</w:t>
            </w:r>
          </w:p>
        </w:tc>
      </w:tr>
    </w:tbl>
    <w:p w14:paraId="00000026">
      <w:pPr>
        <w:jc w:val="both"/>
        <w:rPr>
          <w:b w:val="0"/>
          <w:bCs w:val="0"/>
          <w:color w:val="000000"/>
          <w:vertAlign w:val="baseline"/>
        </w:rPr>
      </w:pPr>
    </w:p>
    <w:p w14:paraId="00000027">
      <w:pPr>
        <w:jc w:val="both"/>
        <w:rPr>
          <w:b w:val="0"/>
          <w:bCs w:val="0"/>
          <w:color w:val="000000"/>
          <w:vertAlign w:val="baseline"/>
        </w:rPr>
      </w:pPr>
    </w:p>
    <w:p w14:paraId="00000028">
      <w:pPr>
        <w:jc w:val="both"/>
        <w:rPr>
          <w:b w:val="0"/>
          <w:bCs w:val="0"/>
          <w:color w:val="000000"/>
          <w:vertAlign w:val="baseline"/>
        </w:rPr>
      </w:pPr>
    </w:p>
    <w:p w14:paraId="00000029">
      <w:pPr>
        <w:jc w:val="both"/>
        <w:rPr>
          <w:b w:val="0"/>
          <w:bCs w:val="0"/>
          <w:color w:val="000000"/>
          <w:vertAlign w:val="baseline"/>
        </w:rPr>
      </w:pPr>
    </w:p>
    <w:p w14:paraId="0000002A">
      <w:pPr>
        <w:jc w:val="both"/>
        <w:rPr>
          <w:b w:val="0"/>
          <w:bCs w:val="0"/>
          <w:color w:val="000000"/>
          <w:vertAlign w:val="baseline"/>
        </w:rPr>
      </w:pPr>
    </w:p>
    <w:p w14:paraId="0000002B">
      <w:pPr>
        <w:jc w:val="both"/>
        <w:rPr>
          <w:b w:val="0"/>
          <w:bCs w:val="0"/>
          <w:color w:val="000000"/>
          <w:vertAlign w:val="baseline"/>
        </w:rPr>
      </w:pPr>
    </w:p>
    <w:p w14:paraId="0000002C">
      <w:pPr>
        <w:jc w:val="both"/>
        <w:rPr>
          <w:b w:val="0"/>
          <w:bCs w:val="0"/>
          <w:color w:val="000000"/>
          <w:vertAlign w:val="baseline"/>
        </w:rPr>
      </w:pPr>
    </w:p>
    <w:p w14:paraId="0000002D">
      <w:pPr>
        <w:jc w:val="both"/>
        <w:rPr>
          <w:b w:val="0"/>
          <w:bCs w:val="0"/>
          <w:color w:val="000000"/>
          <w:vertAlign w:val="baseline"/>
        </w:rPr>
      </w:pPr>
    </w:p>
    <w:p w14:paraId="0000002E">
      <w:pPr>
        <w:jc w:val="both"/>
        <w:rPr>
          <w:b w:val="0"/>
          <w:bCs w:val="0"/>
          <w:color w:val="000000"/>
          <w:vertAlign w:val="baseline"/>
        </w:rPr>
      </w:pPr>
    </w:p>
    <w:p w14:paraId="0000002F">
      <w:pPr>
        <w:jc w:val="both"/>
        <w:rPr>
          <w:b w:val="0"/>
          <w:bCs w:val="0"/>
          <w:color w:val="000000"/>
          <w:vertAlign w:val="baseline"/>
        </w:rPr>
      </w:pPr>
    </w:p>
    <w:p w14:paraId="00000030">
      <w:pPr>
        <w:jc w:val="both"/>
        <w:rPr>
          <w:b w:val="0"/>
          <w:bCs w:val="0"/>
          <w:color w:val="000000"/>
          <w:vertAlign w:val="baseline"/>
        </w:rPr>
      </w:pPr>
    </w:p>
    <w:p w14:paraId="00000031">
      <w:pPr>
        <w:jc w:val="both"/>
        <w:rPr>
          <w:b w:val="0"/>
          <w:bCs w:val="0"/>
          <w:color w:val="000000"/>
          <w:vertAlign w:val="baseline"/>
        </w:rPr>
      </w:pPr>
    </w:p>
    <w:p w14:paraId="00000032">
      <w:pPr>
        <w:jc w:val="both"/>
        <w:rPr>
          <w:b w:val="0"/>
          <w:bCs w:val="0"/>
          <w:color w:val="000000"/>
          <w:vertAlign w:val="baseline"/>
        </w:rPr>
      </w:pPr>
    </w:p>
    <w:p w14:paraId="00000033">
      <w:pPr>
        <w:jc w:val="both"/>
        <w:rPr>
          <w:b w:val="0"/>
          <w:bCs w:val="0"/>
          <w:color w:val="000000"/>
          <w:vertAlign w:val="baseline"/>
        </w:rPr>
      </w:pPr>
    </w:p>
    <w:p w14:paraId="00000034">
      <w:pPr>
        <w:jc w:val="both"/>
        <w:rPr>
          <w:b w:val="0"/>
          <w:bCs w:val="0"/>
          <w:color w:val="000000"/>
          <w:vertAlign w:val="baseline"/>
        </w:rPr>
      </w:pPr>
    </w:p>
    <w:p w14:paraId="00000035">
      <w:pPr>
        <w:jc w:val="both"/>
        <w:rPr>
          <w:b w:val="0"/>
          <w:bCs w:val="0"/>
          <w:color w:val="000000"/>
          <w:vertAlign w:val="baseline"/>
        </w:rPr>
      </w:pPr>
    </w:p>
    <w:p w14:paraId="00000036">
      <w:pPr>
        <w:jc w:val="both"/>
        <w:rPr>
          <w:b w:val="0"/>
          <w:bCs w:val="0"/>
          <w:color w:val="000000"/>
          <w:vertAlign w:val="baseline"/>
        </w:rPr>
      </w:pPr>
    </w:p>
    <w:p w14:paraId="00000037">
      <w:pPr>
        <w:jc w:val="both"/>
        <w:rPr>
          <w:b w:val="0"/>
          <w:bCs w:val="0"/>
          <w:color w:val="000000"/>
          <w:vertAlign w:val="baseline"/>
        </w:rPr>
      </w:pPr>
    </w:p>
    <w:p w14:paraId="00000038">
      <w:pPr>
        <w:jc w:val="both"/>
        <w:rPr>
          <w:b w:val="0"/>
          <w:bCs w:val="0"/>
          <w:color w:val="000000"/>
          <w:vertAlign w:val="baseline"/>
        </w:rPr>
      </w:pPr>
    </w:p>
    <w:p w14:paraId="00000039">
      <w:pPr>
        <w:jc w:val="both"/>
        <w:rPr>
          <w:b w:val="0"/>
          <w:bCs w:val="0"/>
          <w:color w:val="000000"/>
          <w:vertAlign w:val="baseline"/>
        </w:rPr>
      </w:pPr>
    </w:p>
    <w:p w14:paraId="0000003A">
      <w:pPr>
        <w:jc w:val="both"/>
        <w:rPr>
          <w:b w:val="0"/>
          <w:bCs w:val="0"/>
          <w:color w:val="000000"/>
          <w:vertAlign w:val="baseline"/>
        </w:rPr>
      </w:pPr>
    </w:p>
    <w:p w14:paraId="0000003B">
      <w:pPr>
        <w:jc w:val="both"/>
        <w:rPr>
          <w:b w:val="0"/>
          <w:bCs w:val="0"/>
          <w:color w:val="000000"/>
          <w:vertAlign w:val="baseline"/>
        </w:rPr>
      </w:pPr>
    </w:p>
    <w:p w14:paraId="0000003C">
      <w:pPr>
        <w:jc w:val="both"/>
        <w:rPr>
          <w:b w:val="0"/>
          <w:bCs w:val="0"/>
          <w:color w:val="000000"/>
          <w:vertAlign w:val="baseline"/>
        </w:rPr>
      </w:pPr>
    </w:p>
    <w:p w14:paraId="0000003D">
      <w:pPr>
        <w:jc w:val="both"/>
        <w:rPr>
          <w:b w:val="0"/>
          <w:bCs w:val="0"/>
          <w:color w:val="000000"/>
          <w:vertAlign w:val="baseline"/>
        </w:rPr>
      </w:pPr>
    </w:p>
    <w:p w14:paraId="0000003E">
      <w:pPr>
        <w:jc w:val="both"/>
        <w:rPr>
          <w:b w:val="0"/>
          <w:bCs w:val="0"/>
          <w:color w:val="000000"/>
          <w:vertAlign w:val="baseline"/>
        </w:rPr>
      </w:pPr>
    </w:p>
    <w:p w14:paraId="0000003F">
      <w:pPr>
        <w:jc w:val="both"/>
        <w:rPr>
          <w:b w:val="0"/>
          <w:bCs w:val="0"/>
          <w:color w:val="000000"/>
          <w:vertAlign w:val="baseline"/>
        </w:rPr>
      </w:pPr>
    </w:p>
    <w:p w14:paraId="00000040">
      <w:pPr>
        <w:jc w:val="both"/>
        <w:rPr>
          <w:b w:val="0"/>
          <w:bCs w:val="0"/>
          <w:color w:val="000000"/>
          <w:vertAlign w:val="baseline"/>
        </w:rPr>
      </w:pPr>
    </w:p>
    <w:p w14:paraId="00000041">
      <w:pPr>
        <w:jc w:val="both"/>
        <w:rPr>
          <w:b w:val="0"/>
          <w:bCs w:val="0"/>
          <w:color w:val="000000"/>
          <w:vertAlign w:val="baseline"/>
        </w:rPr>
      </w:pPr>
    </w:p>
    <w:p w14:paraId="00000042">
      <w:pPr>
        <w:jc w:val="both"/>
        <w:rPr>
          <w:b w:val="0"/>
          <w:bCs w:val="0"/>
          <w:color w:val="000000"/>
          <w:vertAlign w:val="baseline"/>
        </w:rPr>
      </w:pPr>
    </w:p>
    <w:p w14:paraId="00000043">
      <w:pPr>
        <w:jc w:val="both"/>
        <w:rPr>
          <w:b w:val="0"/>
          <w:bCs w:val="0"/>
          <w:color w:val="000000"/>
          <w:vertAlign w:val="baseline"/>
        </w:rPr>
      </w:pPr>
    </w:p>
    <w:sectPr>
      <w:pgSz w:w="12247" w:h="15819"/>
      <w:pgMar w:top="1440" w:right="1330" w:bottom="1440" w:left="1797" w:header="708" w:footer="708" w:gutter="0"/>
      <w:pgNumType w:start="1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  <w:embedRegular r:id="rId1" w:fontKey="{E6907697-1599-4AD9-A352-33611AAB972E}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2" w:fontKey="{937FF3C4-DC68-40B0-B52D-C1F43680804E}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3" w:fontKey="{2FD51FA2-405A-4D36-9CA7-8651A5FE7D81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4" w:fontKey="{D3588697-A77B-4B47-809C-05899135D760}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5" w:fontKey="{967FBADD-FC15-4502-B891-E182D60A4DCB}"/>
  </w:font>
  <w:font w:name="等线">
    <w:altName w:val="Arial Unicode MS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Georgia">
    <w:panose1 w:val="02040502050405020303"/>
    <w:charset w:val="00"/>
    <w:family w:val="auto"/>
    <w:pitch w:val="default"/>
    <w:sig w:usb0="00000287" w:usb1="00000000" w:usb2="00000000" w:usb3="00000000" w:csb0="2000009F" w:csb1="00000000"/>
    <w:embedRegular r:id="rId6" w:fontKey="{7966AC20-42CE-4D7C-B0FA-BB762E64439B}"/>
  </w:font>
  <w:font w:name="Cambria">
    <w:panose1 w:val="02040503050406030204"/>
    <w:charset w:val="00"/>
    <w:family w:val="auto"/>
    <w:pitch w:val="default"/>
    <w:sig w:usb0="E00006FF" w:usb1="420024FF" w:usb2="02000000" w:usb3="00000000" w:csb0="2000019F" w:csb1="00000000"/>
    <w:embedRegular r:id="rId7" w:fontKey="{76B50F67-06AB-4C63-BC44-D57ABD121E33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TrueTypeFonts/>
  <w:documentProtection w:enforcement="0"/>
  <w:defaultTabStop w:val="720"/>
  <w:compat>
    <w:compatSetting w:name="compatibilityMode" w:uri="http://schemas.microsoft.com/office/word" w:val="15"/>
  </w:compat>
  <w:rsids>
    <w:rsidRoot w:val="00000000"/>
    <w:rsid w:val="495B47EE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unhideWhenUsed="0" w:uiPriority="0" w:semiHidden="0" w:name="heading 7"/>
    <w:lsdException w:unhideWhenUsed="0" w:uiPriority="0" w:semiHidden="0" w:name="heading 8"/>
    <w:lsdException w:unhideWhenUsed="0" w:uiPriority="0" w:semiHidden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semiHidden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</w:pPr>
    <w:rPr>
      <w:sz w:val="24"/>
      <w:szCs w:val="24"/>
      <w:lang w:val="en"/>
    </w:rPr>
  </w:style>
  <w:style w:type="paragraph" w:styleId="2">
    <w:name w:val="heading 1"/>
    <w:basedOn w:val="1"/>
    <w:next w:val="1"/>
    <w:qFormat/>
    <w:uiPriority w:val="0"/>
    <w:pPr>
      <w:keepNext/>
      <w:keepLines/>
      <w:widowControl w:val="0"/>
      <w:spacing w:before="0" w:after="0" w:line="240" w:lineRule="auto"/>
    </w:pPr>
    <w:rPr>
      <w:rFonts w:ascii="Arial" w:hAnsi="Arial" w:eastAsia="Arial" w:cs="Arial"/>
      <w:b/>
      <w:bCs/>
      <w:sz w:val="32"/>
      <w:szCs w:val="32"/>
      <w:vertAlign w:val="baseline"/>
    </w:rPr>
  </w:style>
  <w:style w:type="paragraph" w:styleId="3">
    <w:name w:val="heading 2"/>
    <w:basedOn w:val="1"/>
    <w:next w:val="1"/>
    <w:qFormat/>
    <w:uiPriority w:val="0"/>
    <w:pPr>
      <w:keepNext/>
      <w:keepLines/>
      <w:widowControl w:val="0"/>
      <w:spacing w:before="0" w:after="0" w:line="240" w:lineRule="auto"/>
    </w:pPr>
    <w:rPr>
      <w:rFonts w:ascii="Arial" w:hAnsi="Arial" w:eastAsia="Arial" w:cs="Arial"/>
      <w:b/>
      <w:bCs/>
      <w:i/>
      <w:iCs/>
      <w:sz w:val="28"/>
      <w:szCs w:val="28"/>
      <w:vertAlign w:val="baseline"/>
    </w:rPr>
  </w:style>
  <w:style w:type="paragraph" w:styleId="4">
    <w:name w:val="heading 3"/>
    <w:basedOn w:val="1"/>
    <w:next w:val="1"/>
    <w:qFormat/>
    <w:uiPriority w:val="0"/>
    <w:pPr>
      <w:keepNext/>
      <w:keepLines/>
      <w:widowControl w:val="0"/>
      <w:spacing w:before="0" w:after="0" w:line="240" w:lineRule="auto"/>
    </w:pPr>
    <w:rPr>
      <w:rFonts w:ascii="Arial" w:hAnsi="Arial" w:eastAsia="Arial" w:cs="Arial"/>
      <w:b/>
      <w:bCs/>
      <w:sz w:val="26"/>
      <w:szCs w:val="26"/>
      <w:vertAlign w:val="baseline"/>
    </w:rPr>
  </w:style>
  <w:style w:type="paragraph" w:styleId="5">
    <w:name w:val="heading 4"/>
    <w:basedOn w:val="1"/>
    <w:next w:val="1"/>
    <w:qFormat/>
    <w:uiPriority w:val="0"/>
    <w:pPr>
      <w:keepNext/>
      <w:keepLines/>
      <w:widowControl w:val="0"/>
      <w:spacing w:before="0" w:after="0" w:line="240" w:lineRule="auto"/>
    </w:pPr>
    <w:rPr>
      <w:rFonts w:ascii="Times New Roman" w:hAnsi="Times New Roman" w:eastAsia="Times New Roman" w:cs="Times New Roman"/>
      <w:b/>
      <w:bCs/>
      <w:sz w:val="28"/>
      <w:szCs w:val="28"/>
      <w:vertAlign w:val="baseline"/>
    </w:rPr>
  </w:style>
  <w:style w:type="paragraph" w:styleId="6">
    <w:name w:val="heading 5"/>
    <w:basedOn w:val="1"/>
    <w:next w:val="1"/>
    <w:qFormat/>
    <w:uiPriority w:val="0"/>
    <w:pPr>
      <w:keepNext/>
      <w:keepLines/>
      <w:widowControl w:val="0"/>
      <w:spacing w:before="0" w:after="0" w:line="240" w:lineRule="auto"/>
    </w:pPr>
    <w:rPr>
      <w:b/>
      <w:bCs/>
      <w:i/>
      <w:iCs/>
      <w:sz w:val="26"/>
      <w:szCs w:val="26"/>
      <w:vertAlign w:val="baseline"/>
    </w:rPr>
  </w:style>
  <w:style w:type="paragraph" w:styleId="7">
    <w:name w:val="heading 6"/>
    <w:basedOn w:val="1"/>
    <w:next w:val="1"/>
    <w:qFormat/>
    <w:uiPriority w:val="0"/>
    <w:pPr>
      <w:keepNext/>
      <w:keepLines/>
      <w:widowControl w:val="0"/>
      <w:spacing w:before="0" w:after="0" w:line="240" w:lineRule="auto"/>
    </w:pPr>
    <w:rPr>
      <w:rFonts w:ascii="Times New Roman" w:hAnsi="Times New Roman" w:eastAsia="Times New Roman" w:cs="Times New Roman"/>
      <w:b/>
      <w:bCs/>
      <w:sz w:val="22"/>
      <w:szCs w:val="22"/>
      <w:vertAlign w:val="baseline"/>
    </w:rPr>
  </w:style>
  <w:style w:type="paragraph" w:styleId="8">
    <w:name w:val="heading 7"/>
    <w:basedOn w:val="1"/>
    <w:next w:val="1"/>
    <w:uiPriority w:val="0"/>
    <w:pPr>
      <w:keepNext/>
      <w:keepLines/>
      <w:widowControl w:val="0"/>
      <w:suppressAutoHyphens/>
      <w:spacing w:before="240" w:beforeLines="0" w:beforeAutospacing="0" w:after="60" w:afterLines="0" w:afterAutospacing="0" w:line="240" w:lineRule="auto"/>
      <w:ind w:leftChars="-1" w:rightChars="0" w:hangingChars="1"/>
      <w:textAlignment w:val="top"/>
      <w:outlineLvl w:val="6"/>
    </w:pPr>
    <w:rPr>
      <w:w w:val="100"/>
      <w:kern w:val="2"/>
      <w:position w:val="-1"/>
      <w:sz w:val="24"/>
      <w:vertAlign w:val="baseline"/>
      <w:cs w:val="0"/>
      <w:lang w:val="en-US" w:eastAsia="zh-CN" w:bidi="ar-SA"/>
    </w:rPr>
  </w:style>
  <w:style w:type="paragraph" w:styleId="9">
    <w:name w:val="heading 8"/>
    <w:basedOn w:val="1"/>
    <w:next w:val="1"/>
    <w:uiPriority w:val="0"/>
    <w:pPr>
      <w:keepNext/>
      <w:keepLines/>
      <w:widowControl w:val="0"/>
      <w:suppressAutoHyphens/>
      <w:spacing w:before="240" w:beforeLines="0" w:beforeAutospacing="0" w:after="60" w:afterLines="0" w:afterAutospacing="0" w:line="240" w:lineRule="auto"/>
      <w:ind w:leftChars="-1" w:rightChars="0" w:hangingChars="1"/>
      <w:textAlignment w:val="top"/>
      <w:outlineLvl w:val="7"/>
    </w:pPr>
    <w:rPr>
      <w:rFonts w:ascii="Times New Roman" w:hAnsi="Times New Roman"/>
      <w:i/>
      <w:w w:val="100"/>
      <w:kern w:val="2"/>
      <w:position w:val="-1"/>
      <w:sz w:val="24"/>
      <w:vertAlign w:val="baseline"/>
      <w:cs w:val="0"/>
      <w:lang w:val="en-US" w:eastAsia="zh-CN" w:bidi="ar-SA"/>
    </w:rPr>
  </w:style>
  <w:style w:type="paragraph" w:styleId="10">
    <w:name w:val="heading 9"/>
    <w:basedOn w:val="1"/>
    <w:next w:val="1"/>
    <w:uiPriority w:val="0"/>
    <w:pPr>
      <w:keepNext/>
      <w:keepLines/>
      <w:widowControl w:val="0"/>
      <w:suppressAutoHyphens/>
      <w:spacing w:before="240" w:beforeLines="0" w:beforeAutospacing="0" w:after="60" w:afterLines="0" w:afterAutospacing="0" w:line="240" w:lineRule="auto"/>
      <w:ind w:leftChars="-1" w:rightChars="0" w:hangingChars="1"/>
      <w:textAlignment w:val="top"/>
      <w:outlineLvl w:val="8"/>
    </w:pPr>
    <w:rPr>
      <w:rFonts w:ascii="Arial" w:hAnsi="Arial"/>
      <w:w w:val="100"/>
      <w:kern w:val="2"/>
      <w:position w:val="-1"/>
      <w:sz w:val="22"/>
      <w:vertAlign w:val="baseline"/>
      <w:cs w:val="0"/>
      <w:lang w:val="en-US" w:eastAsia="zh-CN" w:bidi="ar-SA"/>
    </w:rPr>
  </w:style>
  <w:style w:type="character" w:default="1" w:styleId="11">
    <w:name w:val="Default Paragraph Font"/>
    <w:uiPriority w:val="0"/>
    <w:rPr>
      <w:w w:val="100"/>
      <w:position w:val="-1"/>
      <w:vertAlign w:val="baseline"/>
      <w:cs w:val="0"/>
    </w:rPr>
  </w:style>
  <w:style w:type="table" w:default="1" w:styleId="1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3">
    <w:name w:val="footer"/>
    <w:basedOn w:val="1"/>
    <w:uiPriority w:val="0"/>
    <w:pPr>
      <w:widowControl w:val="0"/>
      <w:tabs>
        <w:tab w:val="center" w:pos="4153"/>
        <w:tab w:val="right" w:pos="8306"/>
      </w:tabs>
      <w:suppressAutoHyphens/>
      <w:spacing w:line="1" w:lineRule="atLeast"/>
      <w:ind w:leftChars="-1" w:rightChars="0" w:hangingChars="1"/>
      <w:jc w:val="left"/>
      <w:textAlignment w:val="top"/>
      <w:outlineLvl w:val="0"/>
    </w:pPr>
    <w:rPr>
      <w:w w:val="100"/>
      <w:kern w:val="2"/>
      <w:position w:val="-1"/>
      <w:sz w:val="18"/>
      <w:szCs w:val="18"/>
      <w:vertAlign w:val="baseline"/>
      <w:cs w:val="0"/>
      <w:lang w:val="en-US" w:eastAsia="zh-CN" w:bidi="ar-SA"/>
    </w:rPr>
  </w:style>
  <w:style w:type="paragraph" w:styleId="14">
    <w:name w:val="header"/>
    <w:basedOn w:val="1"/>
    <w:uiPriority w:val="0"/>
    <w:pPr>
      <w:widowControl w:val="0"/>
      <w:tabs>
        <w:tab w:val="center" w:pos="4153"/>
        <w:tab w:val="right" w:pos="8306"/>
      </w:tabs>
      <w:suppressAutoHyphens/>
      <w:spacing w:line="1" w:lineRule="atLeast"/>
      <w:ind w:leftChars="-1" w:rightChars="0" w:hangingChars="1"/>
      <w:textAlignment w:val="top"/>
      <w:outlineLvl w:val="0"/>
    </w:pPr>
    <w:rPr>
      <w:w w:val="100"/>
      <w:kern w:val="2"/>
      <w:position w:val="-1"/>
      <w:sz w:val="18"/>
      <w:szCs w:val="18"/>
      <w:vertAlign w:val="baseline"/>
      <w:cs w:val="0"/>
      <w:lang w:val="en-US" w:eastAsia="zh-CN" w:bidi="ar-SA"/>
    </w:rPr>
  </w:style>
  <w:style w:type="paragraph" w:styleId="15">
    <w:name w:val="Subtitle"/>
    <w:basedOn w:val="1"/>
    <w:next w:val="1"/>
    <w:qFormat/>
    <w:uiPriority w:val="0"/>
    <w:pPr>
      <w:keepNext/>
      <w:keepLines/>
      <w:pageBreakBefore w:val="0"/>
      <w:spacing w:before="360" w:after="80"/>
    </w:pPr>
    <w:rPr>
      <w:rFonts w:ascii="Georgia" w:hAnsi="Georgia" w:eastAsia="Georgia" w:cs="Georgia"/>
      <w:i/>
      <w:iCs/>
      <w:color w:val="666666"/>
      <w:sz w:val="48"/>
      <w:szCs w:val="48"/>
    </w:rPr>
  </w:style>
  <w:style w:type="paragraph" w:styleId="16">
    <w:name w:val="Title"/>
    <w:basedOn w:val="1"/>
    <w:next w:val="1"/>
    <w:qFormat/>
    <w:uiPriority w:val="0"/>
    <w:pPr>
      <w:keepNext/>
      <w:keepLines/>
      <w:pageBreakBefore w:val="0"/>
      <w:spacing w:before="480" w:after="120"/>
    </w:pPr>
    <w:rPr>
      <w:b/>
      <w:bCs/>
      <w:sz w:val="72"/>
      <w:szCs w:val="72"/>
    </w:rPr>
  </w:style>
  <w:style w:type="table" w:customStyle="1" w:styleId="17">
    <w:name w:val="TableNormal"/>
    <w:qFormat/>
    <w:uiPriority w:val="0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18">
    <w:name w:val="Table Normal1"/>
    <w:qFormat/>
    <w:uiPriority w:val="0"/>
    <w:pPr>
      <w:suppressAutoHyphens/>
      <w:spacing w:line="1" w:lineRule="atLeast"/>
      <w:ind w:leftChars="-1" w:rightChars="0" w:hangingChars="1"/>
      <w:textAlignment w:val="top"/>
      <w:outlineLvl w:val="0"/>
    </w:pPr>
    <w:rPr>
      <w:w w:val="100"/>
      <w:position w:val="-1"/>
      <w:vertAlign w:val="baseline"/>
      <w:cs w:val="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">
    <w:name w:val="_Style 17"/>
    <w:basedOn w:val="17"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">
    <w:name w:val="_Style 18"/>
    <w:basedOn w:val="17"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_Style 19"/>
    <w:basedOn w:val="17"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customXml" Target="../customXml/item1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O032CHQ12lrRzjRoSEpdNngDnBQ==">CgMxLjA4AHIhMU84TGpETkJncGRoTWJwczlEOVF1c3JLZ0VkbnRIX0ph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2</Pages>
  <Words>288</Words>
  <Characters>1021</Characters>
  <TotalTime>0</TotalTime>
  <ScaleCrop>false</ScaleCrop>
  <LinksUpToDate>false</LinksUpToDate>
  <CharactersWithSpaces>1419</CharactersWithSpaces>
  <Application>WPS Office_12.1.0.26372_F1E327BC-269C-435d-A152-05C5408002CA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2010-05-06T13:11:00Z</dcterms:created>
  <dc:creator>User</dc:creator>
  <cp:lastModifiedBy>Việt Hưng Kế Toán</cp:lastModifiedBy>
  <dcterms:modified xsi:type="dcterms:W3CDTF">2026-05-26T10:09:14Z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eyJoZGlkIjoiODE2NWRjODA2YmFkMmZmOWZmYWUwOGJlMGVlZDBlZWIiLCJ1c2VySWQiOiIxMzc0MzkxOTc5OTc4In0=</vt:lpwstr>
  </property>
  <property fmtid="{D5CDD505-2E9C-101B-9397-08002B2CF9AE}" pid="3" name="KSOProductBuildVer">
    <vt:lpwstr>1033-12.1.0.26372</vt:lpwstr>
  </property>
  <property fmtid="{D5CDD505-2E9C-101B-9397-08002B2CF9AE}" pid="4" name="ICV">
    <vt:lpwstr>AF7C35DB5F5444B1A17E5B7E4615AF22_12</vt:lpwstr>
  </property>
</Properties>
</file>